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FCF5D4" w14:textId="77777777" w:rsidR="001C010D" w:rsidRDefault="001C010D" w:rsidP="001C010D">
      <w:pPr>
        <w:rPr>
          <w:rFonts w:ascii="Calibri" w:hAnsi="Calibri"/>
          <w:b/>
        </w:rPr>
      </w:pPr>
      <w:r>
        <w:rPr>
          <w:rFonts w:ascii="Calibri" w:hAnsi="Calibri"/>
          <w:b/>
        </w:rPr>
        <w:t>Global X Russell 2000</w:t>
      </w:r>
      <w:r w:rsidRPr="00A2633B">
        <w:rPr>
          <w:rFonts w:ascii="Calibri" w:hAnsi="Calibri"/>
          <w:b/>
        </w:rPr>
        <w:t xml:space="preserve"> Covered Call &amp; Growth ETF </w:t>
      </w:r>
    </w:p>
    <w:p w14:paraId="4B6FA7B9" w14:textId="77777777" w:rsidR="001C010D" w:rsidRPr="000B254F" w:rsidRDefault="001C010D" w:rsidP="001C010D">
      <w:pPr>
        <w:rPr>
          <w:rFonts w:ascii="Calibri" w:hAnsi="Calibri"/>
          <w:sz w:val="22"/>
          <w:szCs w:val="22"/>
        </w:rPr>
      </w:pPr>
      <w:proofErr w:type="spellStart"/>
      <w:r>
        <w:rPr>
          <w:rFonts w:ascii="Calibri" w:hAnsi="Calibri"/>
          <w:sz w:val="22"/>
          <w:szCs w:val="22"/>
        </w:rPr>
        <w:t>Cusip</w:t>
      </w:r>
      <w:proofErr w:type="spellEnd"/>
      <w:r>
        <w:rPr>
          <w:rFonts w:ascii="Calibri" w:hAnsi="Calibri"/>
          <w:sz w:val="22"/>
          <w:szCs w:val="22"/>
        </w:rPr>
        <w:t>:</w:t>
      </w:r>
      <w:r>
        <w:rPr>
          <w:rFonts w:ascii="Calibri" w:hAnsi="Calibri"/>
          <w:sz w:val="22"/>
          <w:szCs w:val="22"/>
        </w:rPr>
        <w:tab/>
      </w:r>
      <w:r w:rsidRPr="002F6890">
        <w:rPr>
          <w:rFonts w:ascii="Calibri" w:hAnsi="Calibri"/>
          <w:sz w:val="22"/>
          <w:szCs w:val="22"/>
        </w:rPr>
        <w:t>37960A776</w:t>
      </w:r>
    </w:p>
    <w:p w14:paraId="158238A7" w14:textId="77777777" w:rsidR="001C010D" w:rsidRPr="000B254F" w:rsidRDefault="001C010D" w:rsidP="001C010D">
      <w:pPr>
        <w:rPr>
          <w:rFonts w:ascii="Calibri" w:hAnsi="Calibri"/>
          <w:sz w:val="22"/>
          <w:szCs w:val="22"/>
        </w:rPr>
      </w:pPr>
      <w:r>
        <w:rPr>
          <w:rFonts w:ascii="Calibri" w:hAnsi="Calibri"/>
          <w:sz w:val="22"/>
          <w:szCs w:val="22"/>
        </w:rPr>
        <w:t>Ticker:</w:t>
      </w:r>
      <w:r>
        <w:rPr>
          <w:rFonts w:ascii="Calibri" w:hAnsi="Calibri"/>
          <w:sz w:val="22"/>
          <w:szCs w:val="22"/>
        </w:rPr>
        <w:tab/>
        <w:t>RYLG</w:t>
      </w:r>
    </w:p>
    <w:p w14:paraId="3FC42D58" w14:textId="77777777" w:rsidR="001C010D" w:rsidRPr="000B254F" w:rsidRDefault="001C010D" w:rsidP="001C010D">
      <w:pPr>
        <w:rPr>
          <w:rFonts w:ascii="Calibri" w:hAnsi="Calibri"/>
          <w:sz w:val="22"/>
          <w:szCs w:val="22"/>
        </w:rPr>
      </w:pPr>
    </w:p>
    <w:p w14:paraId="35C03125" w14:textId="77777777" w:rsidR="009830B0" w:rsidRDefault="009830B0" w:rsidP="009830B0">
      <w:pPr>
        <w:rPr>
          <w:rFonts w:ascii="Calibri" w:hAnsi="Calibri"/>
          <w:sz w:val="22"/>
          <w:szCs w:val="22"/>
        </w:rPr>
      </w:pPr>
      <w:bookmarkStart w:id="0" w:name="_Hlk188612505"/>
      <w:r>
        <w:rPr>
          <w:rFonts w:ascii="Calibri" w:hAnsi="Calibri"/>
          <w:sz w:val="22"/>
          <w:szCs w:val="22"/>
        </w:rPr>
        <w:t>Record Date:</w:t>
      </w:r>
      <w:r>
        <w:rPr>
          <w:rFonts w:ascii="Calibri" w:hAnsi="Calibri"/>
          <w:sz w:val="22"/>
          <w:szCs w:val="22"/>
        </w:rPr>
        <w:tab/>
      </w:r>
      <w:r>
        <w:rPr>
          <w:rFonts w:ascii="Calibri" w:hAnsi="Calibri"/>
          <w:sz w:val="22"/>
          <w:szCs w:val="22"/>
        </w:rPr>
        <w:tab/>
      </w:r>
      <w:r>
        <w:rPr>
          <w:rFonts w:ascii="Calibri" w:hAnsi="Calibri"/>
          <w:sz w:val="22"/>
          <w:szCs w:val="22"/>
        </w:rPr>
        <w:tab/>
        <w:t>December 22, 2025</w:t>
      </w:r>
    </w:p>
    <w:p w14:paraId="292A2B64" w14:textId="77777777" w:rsidR="009830B0" w:rsidRDefault="009830B0" w:rsidP="009830B0">
      <w:pPr>
        <w:rPr>
          <w:rFonts w:ascii="Calibri" w:hAnsi="Calibri"/>
          <w:sz w:val="22"/>
          <w:szCs w:val="22"/>
        </w:rPr>
      </w:pPr>
      <w:r>
        <w:rPr>
          <w:rFonts w:ascii="Calibri" w:hAnsi="Calibri"/>
          <w:sz w:val="22"/>
          <w:szCs w:val="22"/>
        </w:rPr>
        <w:t>Pay Date:</w:t>
      </w:r>
      <w:r>
        <w:rPr>
          <w:rFonts w:ascii="Calibri" w:hAnsi="Calibri"/>
          <w:sz w:val="22"/>
          <w:szCs w:val="22"/>
        </w:rPr>
        <w:tab/>
      </w:r>
      <w:r>
        <w:rPr>
          <w:rFonts w:ascii="Calibri" w:hAnsi="Calibri"/>
          <w:sz w:val="22"/>
          <w:szCs w:val="22"/>
        </w:rPr>
        <w:tab/>
      </w:r>
      <w:r>
        <w:rPr>
          <w:rFonts w:ascii="Calibri" w:hAnsi="Calibri"/>
          <w:sz w:val="22"/>
          <w:szCs w:val="22"/>
        </w:rPr>
        <w:tab/>
        <w:t>December 30, 2025</w:t>
      </w:r>
      <w:bookmarkEnd w:id="0"/>
    </w:p>
    <w:p w14:paraId="20E337EE" w14:textId="77777777" w:rsidR="001C010D" w:rsidRDefault="001C010D" w:rsidP="005F6CFB">
      <w:pPr>
        <w:rPr>
          <w:rFonts w:ascii="Calibri" w:hAnsi="Calibri"/>
          <w:sz w:val="22"/>
          <w:szCs w:val="22"/>
        </w:rPr>
      </w:pPr>
    </w:p>
    <w:p w14:paraId="465ACC4C" w14:textId="019434D5" w:rsidR="001C010D" w:rsidRDefault="001C010D" w:rsidP="001C010D">
      <w:pPr>
        <w:rPr>
          <w:rFonts w:ascii="Calibri" w:hAnsi="Calibri"/>
          <w:b/>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9830B0">
        <w:rPr>
          <w:rFonts w:ascii="Calibri" w:hAnsi="Calibri"/>
          <w:b/>
          <w:sz w:val="22"/>
          <w:szCs w:val="22"/>
        </w:rPr>
        <w:t>1220</w:t>
      </w:r>
    </w:p>
    <w:p w14:paraId="6591035E" w14:textId="77777777" w:rsidR="00337CC5" w:rsidRPr="000B254F" w:rsidRDefault="00337CC5" w:rsidP="001C010D">
      <w:pPr>
        <w:rPr>
          <w:rFonts w:ascii="Calibri" w:hAnsi="Calibri"/>
          <w:sz w:val="22"/>
          <w:szCs w:val="22"/>
        </w:rPr>
      </w:pPr>
    </w:p>
    <w:p w14:paraId="245C55EE" w14:textId="389B067A" w:rsidR="001C010D" w:rsidRPr="000B254F" w:rsidRDefault="001C010D" w:rsidP="001C010D">
      <w:pPr>
        <w:rPr>
          <w:rFonts w:ascii="Calibri" w:hAnsi="Calibri"/>
          <w:sz w:val="22"/>
          <w:szCs w:val="22"/>
        </w:rPr>
      </w:pPr>
      <w:r w:rsidRPr="000B254F">
        <w:rPr>
          <w:rFonts w:ascii="Calibri" w:hAnsi="Calibri"/>
          <w:sz w:val="22"/>
          <w:szCs w:val="22"/>
        </w:rPr>
        <w:t xml:space="preserve">The following table sets forth the estimated amounts of the current distribution </w:t>
      </w:r>
      <w:proofErr w:type="gramStart"/>
      <w:r w:rsidRPr="000B254F">
        <w:rPr>
          <w:rFonts w:ascii="Calibri" w:hAnsi="Calibri"/>
          <w:sz w:val="22"/>
          <w:szCs w:val="22"/>
        </w:rPr>
        <w:t>paid</w:t>
      </w:r>
      <w:proofErr w:type="gramEnd"/>
      <w:r w:rsidRPr="000B254F">
        <w:rPr>
          <w:rFonts w:ascii="Calibri" w:hAnsi="Calibri"/>
          <w:sz w:val="22"/>
          <w:szCs w:val="22"/>
        </w:rPr>
        <w:t xml:space="preserve"> and the cumulative distributions paid this fiscal year to date from the following sources: net investment income</w:t>
      </w:r>
      <w:r w:rsidR="0043558F">
        <w:rPr>
          <w:rFonts w:ascii="Calibri" w:hAnsi="Calibri"/>
          <w:sz w:val="22"/>
          <w:szCs w:val="22"/>
        </w:rPr>
        <w:t xml:space="preserve"> </w:t>
      </w:r>
      <w:r w:rsidRPr="000B254F">
        <w:rPr>
          <w:rFonts w:ascii="Calibri" w:hAnsi="Calibri"/>
          <w:sz w:val="22"/>
          <w:szCs w:val="22"/>
        </w:rPr>
        <w:t>and return of capital. All amounts are expressed per capital share.</w:t>
      </w:r>
    </w:p>
    <w:p w14:paraId="05594888" w14:textId="77777777" w:rsidR="001C010D" w:rsidRDefault="001C010D" w:rsidP="001C010D"/>
    <w:tbl>
      <w:tblPr>
        <w:tblW w:w="12168" w:type="dxa"/>
        <w:tblInd w:w="288" w:type="dxa"/>
        <w:tblLook w:val="01E0" w:firstRow="1" w:lastRow="1" w:firstColumn="1" w:lastColumn="1" w:noHBand="0" w:noVBand="0"/>
      </w:tblPr>
      <w:tblGrid>
        <w:gridCol w:w="2628"/>
        <w:gridCol w:w="1446"/>
        <w:gridCol w:w="1974"/>
        <w:gridCol w:w="2700"/>
        <w:gridCol w:w="3420"/>
      </w:tblGrid>
      <w:tr w:rsidR="001C010D" w14:paraId="31C02153" w14:textId="77777777" w:rsidTr="000F6411">
        <w:tc>
          <w:tcPr>
            <w:tcW w:w="2628" w:type="dxa"/>
          </w:tcPr>
          <w:p w14:paraId="4D403E4E" w14:textId="77777777" w:rsidR="001C010D" w:rsidRPr="001D0340" w:rsidRDefault="001C010D" w:rsidP="000F6411">
            <w:pPr>
              <w:rPr>
                <w:rFonts w:ascii="Calibri" w:hAnsi="Calibri"/>
                <w:sz w:val="20"/>
                <w:szCs w:val="20"/>
              </w:rPr>
            </w:pPr>
          </w:p>
        </w:tc>
        <w:tc>
          <w:tcPr>
            <w:tcW w:w="1446" w:type="dxa"/>
            <w:tcBorders>
              <w:bottom w:val="single" w:sz="4" w:space="0" w:color="auto"/>
            </w:tcBorders>
          </w:tcPr>
          <w:p w14:paraId="34A31951" w14:textId="77777777" w:rsidR="001C010D" w:rsidRPr="001D0340" w:rsidRDefault="001C010D" w:rsidP="000F6411">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700F103D" w14:textId="77777777" w:rsidR="001C010D" w:rsidRPr="001D0340" w:rsidRDefault="001C010D" w:rsidP="000F6411">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0CEEEFDF" w14:textId="77777777" w:rsidR="001C010D" w:rsidRPr="001D0340" w:rsidRDefault="001C010D" w:rsidP="000F6411">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4574ED4B" w14:textId="77777777" w:rsidR="001C010D" w:rsidRPr="001D0340" w:rsidRDefault="001C010D" w:rsidP="000F6411">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1C010D" w14:paraId="7B1FBBF6" w14:textId="77777777" w:rsidTr="000F6411">
        <w:tc>
          <w:tcPr>
            <w:tcW w:w="2628" w:type="dxa"/>
          </w:tcPr>
          <w:p w14:paraId="32CB4724" w14:textId="77777777" w:rsidR="001C010D" w:rsidRPr="001D0340" w:rsidRDefault="001C010D" w:rsidP="000F6411">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3B750FB0" w14:textId="76C53739" w:rsidR="001C010D" w:rsidRPr="001D0340" w:rsidRDefault="001C010D" w:rsidP="000F6411">
            <w:pPr>
              <w:tabs>
                <w:tab w:val="left" w:pos="1289"/>
              </w:tabs>
              <w:ind w:right="266"/>
              <w:jc w:val="center"/>
              <w:rPr>
                <w:rFonts w:ascii="Calibri" w:hAnsi="Calibri"/>
                <w:sz w:val="20"/>
                <w:szCs w:val="20"/>
              </w:rPr>
            </w:pPr>
            <w:r w:rsidRPr="001D0340">
              <w:rPr>
                <w:rFonts w:ascii="Calibri" w:hAnsi="Calibri"/>
                <w:sz w:val="20"/>
                <w:szCs w:val="20"/>
              </w:rPr>
              <w:t>$0.</w:t>
            </w:r>
            <w:r w:rsidR="0043558F">
              <w:rPr>
                <w:rFonts w:ascii="Calibri" w:hAnsi="Calibri"/>
                <w:sz w:val="20"/>
                <w:szCs w:val="20"/>
              </w:rPr>
              <w:t>0000</w:t>
            </w:r>
          </w:p>
        </w:tc>
        <w:tc>
          <w:tcPr>
            <w:tcW w:w="1974" w:type="dxa"/>
            <w:tcBorders>
              <w:top w:val="single" w:sz="4" w:space="0" w:color="auto"/>
            </w:tcBorders>
          </w:tcPr>
          <w:p w14:paraId="14E7A416" w14:textId="5C9C0C2C" w:rsidR="001C010D" w:rsidRPr="001D0340" w:rsidRDefault="007530E3" w:rsidP="000F6411">
            <w:pPr>
              <w:rPr>
                <w:rFonts w:ascii="Calibri" w:hAnsi="Calibri"/>
                <w:sz w:val="20"/>
                <w:szCs w:val="20"/>
              </w:rPr>
            </w:pPr>
            <w:r>
              <w:rPr>
                <w:rFonts w:ascii="Calibri" w:hAnsi="Calibri"/>
                <w:sz w:val="20"/>
                <w:szCs w:val="20"/>
              </w:rPr>
              <w:t xml:space="preserve">           </w:t>
            </w:r>
            <w:r w:rsidR="0043558F">
              <w:rPr>
                <w:rFonts w:ascii="Calibri" w:hAnsi="Calibri"/>
                <w:sz w:val="20"/>
                <w:szCs w:val="20"/>
              </w:rPr>
              <w:t xml:space="preserve"> </w:t>
            </w:r>
            <w:r w:rsidR="001F7614">
              <w:rPr>
                <w:rFonts w:ascii="Calibri" w:hAnsi="Calibri"/>
                <w:sz w:val="20"/>
                <w:szCs w:val="20"/>
              </w:rPr>
              <w:t xml:space="preserve">  </w:t>
            </w:r>
            <w:r w:rsidR="0043558F">
              <w:rPr>
                <w:rFonts w:ascii="Calibri" w:hAnsi="Calibri"/>
                <w:sz w:val="20"/>
                <w:szCs w:val="20"/>
              </w:rPr>
              <w:t>0.00</w:t>
            </w:r>
            <w:r w:rsidR="001C010D" w:rsidRPr="001D0340">
              <w:rPr>
                <w:rFonts w:ascii="Calibri" w:hAnsi="Calibri"/>
                <w:sz w:val="20"/>
                <w:szCs w:val="20"/>
              </w:rPr>
              <w:t>%</w:t>
            </w:r>
          </w:p>
        </w:tc>
        <w:tc>
          <w:tcPr>
            <w:tcW w:w="2700" w:type="dxa"/>
            <w:tcBorders>
              <w:top w:val="single" w:sz="4" w:space="0" w:color="auto"/>
            </w:tcBorders>
          </w:tcPr>
          <w:p w14:paraId="158EAEF8" w14:textId="63F72761" w:rsidR="001C010D" w:rsidRPr="001D0340" w:rsidRDefault="001C010D" w:rsidP="000F6411">
            <w:pPr>
              <w:tabs>
                <w:tab w:val="left" w:pos="1289"/>
              </w:tabs>
              <w:ind w:right="266"/>
              <w:jc w:val="center"/>
              <w:rPr>
                <w:rFonts w:ascii="Calibri" w:hAnsi="Calibri"/>
                <w:sz w:val="20"/>
                <w:szCs w:val="20"/>
              </w:rPr>
            </w:pPr>
            <w:r w:rsidRPr="001D0340">
              <w:rPr>
                <w:rFonts w:ascii="Calibri" w:hAnsi="Calibri"/>
                <w:sz w:val="20"/>
                <w:szCs w:val="20"/>
              </w:rPr>
              <w:t>$</w:t>
            </w:r>
            <w:r w:rsidR="007530E3">
              <w:rPr>
                <w:rFonts w:ascii="Calibri" w:hAnsi="Calibri"/>
                <w:sz w:val="20"/>
                <w:szCs w:val="20"/>
              </w:rPr>
              <w:t>0.</w:t>
            </w:r>
            <w:r w:rsidR="0043558F">
              <w:rPr>
                <w:rFonts w:ascii="Calibri" w:hAnsi="Calibri"/>
                <w:sz w:val="20"/>
                <w:szCs w:val="20"/>
              </w:rPr>
              <w:t>0000</w:t>
            </w:r>
          </w:p>
        </w:tc>
        <w:tc>
          <w:tcPr>
            <w:tcW w:w="3420" w:type="dxa"/>
            <w:tcBorders>
              <w:top w:val="single" w:sz="4" w:space="0" w:color="auto"/>
            </w:tcBorders>
          </w:tcPr>
          <w:p w14:paraId="1DDB24CE" w14:textId="645887FA" w:rsidR="001C010D" w:rsidRPr="001D0340" w:rsidRDefault="007530E3" w:rsidP="000F6411">
            <w:pPr>
              <w:jc w:val="center"/>
              <w:rPr>
                <w:rFonts w:ascii="Calibri" w:hAnsi="Calibri"/>
                <w:sz w:val="20"/>
                <w:szCs w:val="20"/>
              </w:rPr>
            </w:pPr>
            <w:r>
              <w:rPr>
                <w:rFonts w:ascii="Calibri" w:hAnsi="Calibri"/>
                <w:sz w:val="20"/>
                <w:szCs w:val="20"/>
              </w:rPr>
              <w:t xml:space="preserve">  </w:t>
            </w:r>
            <w:r w:rsidR="0043558F">
              <w:rPr>
                <w:rFonts w:ascii="Calibri" w:hAnsi="Calibri"/>
                <w:sz w:val="20"/>
                <w:szCs w:val="20"/>
              </w:rPr>
              <w:t xml:space="preserve"> 0.00</w:t>
            </w:r>
            <w:r w:rsidR="001C010D" w:rsidRPr="001D0340">
              <w:rPr>
                <w:rFonts w:ascii="Calibri" w:hAnsi="Calibri"/>
                <w:sz w:val="20"/>
                <w:szCs w:val="20"/>
              </w:rPr>
              <w:t>%</w:t>
            </w:r>
          </w:p>
        </w:tc>
      </w:tr>
      <w:tr w:rsidR="001C010D" w14:paraId="023BD2DE" w14:textId="77777777" w:rsidTr="000F6411">
        <w:tc>
          <w:tcPr>
            <w:tcW w:w="2628" w:type="dxa"/>
          </w:tcPr>
          <w:p w14:paraId="659B16E5" w14:textId="77777777" w:rsidR="001C010D" w:rsidRPr="001D0340" w:rsidRDefault="001C010D" w:rsidP="000F6411">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09CA44FB" w14:textId="4376E4DE" w:rsidR="001C010D" w:rsidRPr="001D0340" w:rsidRDefault="007530E3" w:rsidP="000F6411">
            <w:pPr>
              <w:tabs>
                <w:tab w:val="left" w:pos="1289"/>
              </w:tabs>
              <w:ind w:right="266"/>
              <w:jc w:val="center"/>
              <w:rPr>
                <w:rFonts w:ascii="Calibri" w:hAnsi="Calibri"/>
                <w:sz w:val="20"/>
                <w:szCs w:val="20"/>
              </w:rPr>
            </w:pPr>
            <w:r>
              <w:rPr>
                <w:rFonts w:ascii="Calibri" w:hAnsi="Calibri"/>
                <w:sz w:val="20"/>
                <w:szCs w:val="20"/>
              </w:rPr>
              <w:t>$0.</w:t>
            </w:r>
            <w:r w:rsidR="00FF6700">
              <w:rPr>
                <w:rFonts w:ascii="Calibri" w:hAnsi="Calibri"/>
                <w:sz w:val="20"/>
                <w:szCs w:val="20"/>
              </w:rPr>
              <w:t>1220</w:t>
            </w:r>
          </w:p>
        </w:tc>
        <w:tc>
          <w:tcPr>
            <w:tcW w:w="1974" w:type="dxa"/>
            <w:tcBorders>
              <w:bottom w:val="single" w:sz="4" w:space="0" w:color="auto"/>
            </w:tcBorders>
          </w:tcPr>
          <w:p w14:paraId="2FC51957" w14:textId="59C339C3" w:rsidR="001C010D" w:rsidRPr="001D0340" w:rsidRDefault="0043558F" w:rsidP="000F6411">
            <w:pPr>
              <w:jc w:val="center"/>
              <w:rPr>
                <w:rFonts w:ascii="Calibri" w:hAnsi="Calibri"/>
                <w:sz w:val="20"/>
                <w:szCs w:val="20"/>
              </w:rPr>
            </w:pPr>
            <w:r>
              <w:rPr>
                <w:rFonts w:ascii="Calibri" w:hAnsi="Calibri"/>
                <w:sz w:val="20"/>
                <w:szCs w:val="20"/>
              </w:rPr>
              <w:t>100.00</w:t>
            </w:r>
            <w:r w:rsidR="001C010D" w:rsidRPr="001D0340">
              <w:rPr>
                <w:rFonts w:ascii="Calibri" w:hAnsi="Calibri"/>
                <w:sz w:val="20"/>
                <w:szCs w:val="20"/>
              </w:rPr>
              <w:t>%</w:t>
            </w:r>
          </w:p>
        </w:tc>
        <w:tc>
          <w:tcPr>
            <w:tcW w:w="2700" w:type="dxa"/>
            <w:tcBorders>
              <w:bottom w:val="single" w:sz="4" w:space="0" w:color="auto"/>
            </w:tcBorders>
          </w:tcPr>
          <w:p w14:paraId="3769F560" w14:textId="1CD8ABCA" w:rsidR="001C010D" w:rsidRPr="001D0340" w:rsidRDefault="001C010D" w:rsidP="000F6411">
            <w:pPr>
              <w:tabs>
                <w:tab w:val="left" w:pos="1289"/>
              </w:tabs>
              <w:ind w:right="266"/>
              <w:jc w:val="center"/>
              <w:rPr>
                <w:rFonts w:ascii="Calibri" w:hAnsi="Calibri"/>
                <w:sz w:val="20"/>
                <w:szCs w:val="20"/>
              </w:rPr>
            </w:pPr>
            <w:r w:rsidRPr="001D0340">
              <w:rPr>
                <w:rFonts w:ascii="Calibri" w:hAnsi="Calibri"/>
                <w:sz w:val="20"/>
                <w:szCs w:val="20"/>
              </w:rPr>
              <w:t>$</w:t>
            </w:r>
            <w:r w:rsidR="0043558F">
              <w:rPr>
                <w:rFonts w:ascii="Calibri" w:hAnsi="Calibri"/>
                <w:sz w:val="20"/>
                <w:szCs w:val="20"/>
              </w:rPr>
              <w:t>0.</w:t>
            </w:r>
            <w:r w:rsidR="009830B0">
              <w:rPr>
                <w:rFonts w:ascii="Calibri" w:hAnsi="Calibri"/>
                <w:sz w:val="20"/>
                <w:szCs w:val="20"/>
              </w:rPr>
              <w:t>3399</w:t>
            </w:r>
          </w:p>
        </w:tc>
        <w:tc>
          <w:tcPr>
            <w:tcW w:w="3420" w:type="dxa"/>
            <w:tcBorders>
              <w:bottom w:val="single" w:sz="4" w:space="0" w:color="auto"/>
            </w:tcBorders>
          </w:tcPr>
          <w:p w14:paraId="76F72463" w14:textId="137C523E" w:rsidR="001C010D" w:rsidRPr="001D0340" w:rsidRDefault="007530E3" w:rsidP="000F6411">
            <w:pPr>
              <w:jc w:val="center"/>
              <w:rPr>
                <w:rFonts w:ascii="Calibri" w:hAnsi="Calibri"/>
                <w:sz w:val="20"/>
                <w:szCs w:val="20"/>
              </w:rPr>
            </w:pPr>
            <w:r>
              <w:rPr>
                <w:rFonts w:ascii="Calibri" w:hAnsi="Calibri"/>
                <w:sz w:val="20"/>
                <w:szCs w:val="20"/>
              </w:rPr>
              <w:t xml:space="preserve">  </w:t>
            </w:r>
            <w:r w:rsidR="0043558F">
              <w:rPr>
                <w:rFonts w:ascii="Calibri" w:hAnsi="Calibri"/>
                <w:sz w:val="20"/>
                <w:szCs w:val="20"/>
              </w:rPr>
              <w:t>100.00</w:t>
            </w:r>
            <w:r w:rsidR="001C010D" w:rsidRPr="001D0340">
              <w:rPr>
                <w:rFonts w:ascii="Calibri" w:hAnsi="Calibri"/>
                <w:sz w:val="20"/>
                <w:szCs w:val="20"/>
              </w:rPr>
              <w:t>%</w:t>
            </w:r>
          </w:p>
        </w:tc>
      </w:tr>
      <w:tr w:rsidR="001C010D" w14:paraId="4174DB21" w14:textId="77777777" w:rsidTr="000F6411">
        <w:tc>
          <w:tcPr>
            <w:tcW w:w="2628" w:type="dxa"/>
          </w:tcPr>
          <w:p w14:paraId="4C154D83" w14:textId="77777777" w:rsidR="001C010D" w:rsidRPr="001D0340" w:rsidRDefault="001C010D" w:rsidP="000F6411">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684B83A4" w14:textId="2D1FBAF9" w:rsidR="001C010D" w:rsidRPr="001D0340" w:rsidRDefault="001C010D" w:rsidP="000F6411">
            <w:pPr>
              <w:tabs>
                <w:tab w:val="left" w:pos="1289"/>
              </w:tabs>
              <w:ind w:right="266"/>
              <w:jc w:val="center"/>
              <w:rPr>
                <w:rFonts w:ascii="Calibri" w:hAnsi="Calibri"/>
                <w:sz w:val="20"/>
                <w:szCs w:val="20"/>
              </w:rPr>
            </w:pPr>
            <w:r w:rsidRPr="001D0340">
              <w:rPr>
                <w:rFonts w:ascii="Calibri" w:hAnsi="Calibri"/>
                <w:sz w:val="20"/>
                <w:szCs w:val="20"/>
              </w:rPr>
              <w:t>$0.</w:t>
            </w:r>
            <w:r w:rsidR="00FF6700">
              <w:rPr>
                <w:rFonts w:ascii="Calibri" w:hAnsi="Calibri"/>
                <w:sz w:val="20"/>
                <w:szCs w:val="20"/>
              </w:rPr>
              <w:t>1220</w:t>
            </w:r>
          </w:p>
        </w:tc>
        <w:tc>
          <w:tcPr>
            <w:tcW w:w="1974" w:type="dxa"/>
            <w:tcBorders>
              <w:top w:val="single" w:sz="4" w:space="0" w:color="auto"/>
            </w:tcBorders>
          </w:tcPr>
          <w:p w14:paraId="34060E62" w14:textId="77777777" w:rsidR="001C010D" w:rsidRPr="001D0340" w:rsidRDefault="001C010D" w:rsidP="000F6411">
            <w:pPr>
              <w:jc w:val="center"/>
              <w:rPr>
                <w:rFonts w:ascii="Calibri" w:hAnsi="Calibri"/>
                <w:sz w:val="20"/>
                <w:szCs w:val="20"/>
              </w:rPr>
            </w:pPr>
            <w:r w:rsidRPr="001D0340">
              <w:rPr>
                <w:rFonts w:ascii="Calibri" w:hAnsi="Calibri"/>
                <w:sz w:val="20"/>
                <w:szCs w:val="20"/>
              </w:rPr>
              <w:t>100.00%</w:t>
            </w:r>
          </w:p>
        </w:tc>
        <w:tc>
          <w:tcPr>
            <w:tcW w:w="2700" w:type="dxa"/>
            <w:tcBorders>
              <w:top w:val="single" w:sz="4" w:space="0" w:color="auto"/>
            </w:tcBorders>
          </w:tcPr>
          <w:p w14:paraId="67629D57" w14:textId="763EA0C8" w:rsidR="001C010D" w:rsidRDefault="001C010D" w:rsidP="000F6411">
            <w:pPr>
              <w:tabs>
                <w:tab w:val="left" w:pos="1289"/>
              </w:tabs>
              <w:ind w:right="266"/>
              <w:jc w:val="center"/>
              <w:rPr>
                <w:rFonts w:ascii="Calibri" w:hAnsi="Calibri"/>
                <w:sz w:val="20"/>
                <w:szCs w:val="20"/>
              </w:rPr>
            </w:pPr>
            <w:r w:rsidRPr="001D0340">
              <w:rPr>
                <w:rFonts w:ascii="Calibri" w:hAnsi="Calibri"/>
                <w:sz w:val="20"/>
                <w:szCs w:val="20"/>
              </w:rPr>
              <w:t>$</w:t>
            </w:r>
            <w:r w:rsidR="0043558F">
              <w:rPr>
                <w:rFonts w:ascii="Calibri" w:hAnsi="Calibri"/>
                <w:sz w:val="20"/>
                <w:szCs w:val="20"/>
              </w:rPr>
              <w:t>0.</w:t>
            </w:r>
            <w:r w:rsidR="009830B0">
              <w:rPr>
                <w:rFonts w:ascii="Calibri" w:hAnsi="Calibri"/>
                <w:sz w:val="20"/>
                <w:szCs w:val="20"/>
              </w:rPr>
              <w:t>3399</w:t>
            </w:r>
          </w:p>
          <w:p w14:paraId="4D3B0758" w14:textId="77777777" w:rsidR="001C010D" w:rsidRPr="001D0340" w:rsidRDefault="001C010D" w:rsidP="000F6411">
            <w:pPr>
              <w:tabs>
                <w:tab w:val="left" w:pos="1289"/>
              </w:tabs>
              <w:ind w:right="266"/>
              <w:jc w:val="center"/>
              <w:rPr>
                <w:rFonts w:ascii="Calibri" w:hAnsi="Calibri"/>
                <w:sz w:val="20"/>
                <w:szCs w:val="20"/>
              </w:rPr>
            </w:pPr>
          </w:p>
        </w:tc>
        <w:tc>
          <w:tcPr>
            <w:tcW w:w="3420" w:type="dxa"/>
            <w:tcBorders>
              <w:top w:val="single" w:sz="4" w:space="0" w:color="auto"/>
            </w:tcBorders>
          </w:tcPr>
          <w:p w14:paraId="6C9594A8" w14:textId="77777777" w:rsidR="001C010D" w:rsidRPr="001D0340" w:rsidRDefault="001C010D"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r>
    </w:tbl>
    <w:p w14:paraId="255F3B3D" w14:textId="2E54516F" w:rsidR="001C010D" w:rsidRDefault="001C010D" w:rsidP="001C010D">
      <w:pPr>
        <w:rPr>
          <w:rFonts w:ascii="Calibri" w:hAnsi="Calibri"/>
          <w:sz w:val="22"/>
          <w:szCs w:val="22"/>
        </w:rPr>
      </w:pPr>
      <w:r>
        <w:rPr>
          <w:rFonts w:ascii="Calibri" w:hAnsi="Calibri"/>
          <w:sz w:val="22"/>
          <w:szCs w:val="22"/>
        </w:rPr>
        <w:t>RY</w:t>
      </w:r>
      <w:r w:rsidRPr="00A2633B">
        <w:rPr>
          <w:rFonts w:ascii="Calibri" w:hAnsi="Calibri"/>
          <w:sz w:val="22"/>
          <w:szCs w:val="22"/>
        </w:rPr>
        <w:t>LG</w:t>
      </w:r>
      <w:r>
        <w:rPr>
          <w:rFonts w:ascii="Calibri" w:hAnsi="Calibri"/>
          <w:sz w:val="22"/>
          <w:szCs w:val="22"/>
        </w:rPr>
        <w:t xml:space="preserve"> currently estimates it has distributed more than its income; therefore, a portion of your distribution may be return of capital. A return of capital may occur, for example, when some or </w:t>
      </w:r>
      <w:proofErr w:type="gramStart"/>
      <w:r>
        <w:rPr>
          <w:rFonts w:ascii="Calibri" w:hAnsi="Calibri"/>
          <w:sz w:val="22"/>
          <w:szCs w:val="22"/>
        </w:rPr>
        <w:t>all of</w:t>
      </w:r>
      <w:proofErr w:type="gramEnd"/>
      <w:r>
        <w:rPr>
          <w:rFonts w:ascii="Calibri" w:hAnsi="Calibri"/>
          <w:sz w:val="22"/>
          <w:szCs w:val="22"/>
        </w:rPr>
        <w:t xml:space="preserve"> the money that you invested in the Fund is paid back to you. A return of capital does not necessarily reflect R</w:t>
      </w:r>
      <w:r w:rsidRPr="00A2633B">
        <w:rPr>
          <w:rFonts w:ascii="Calibri" w:hAnsi="Calibri"/>
          <w:sz w:val="22"/>
          <w:szCs w:val="22"/>
        </w:rPr>
        <w:t>YLG</w:t>
      </w:r>
      <w:r>
        <w:rPr>
          <w:rFonts w:ascii="Calibri" w:hAnsi="Calibri"/>
          <w:sz w:val="22"/>
          <w:szCs w:val="22"/>
        </w:rPr>
        <w:t>’s investment performance and should not be confused with “yield” or “income”.</w:t>
      </w:r>
    </w:p>
    <w:p w14:paraId="517065F5" w14:textId="77777777" w:rsidR="001C010D" w:rsidRDefault="001C010D" w:rsidP="001C010D">
      <w:pPr>
        <w:rPr>
          <w:rFonts w:ascii="Calibri" w:hAnsi="Calibri"/>
          <w:sz w:val="22"/>
          <w:szCs w:val="22"/>
        </w:rPr>
      </w:pPr>
    </w:p>
    <w:p w14:paraId="600436D4" w14:textId="4E48639E" w:rsidR="001C010D" w:rsidRDefault="001C010D" w:rsidP="001C010D">
      <w:pPr>
        <w:rPr>
          <w:rFonts w:ascii="Calibri" w:hAnsi="Calibri"/>
          <w:b/>
          <w:sz w:val="22"/>
          <w:szCs w:val="22"/>
        </w:rPr>
      </w:pPr>
      <w:r>
        <w:rPr>
          <w:rFonts w:ascii="Calibri" w:hAnsi="Calibri"/>
          <w:b/>
          <w:sz w:val="22"/>
          <w:szCs w:val="22"/>
        </w:rPr>
        <w:t>The amounts and sources of distributions reported in the Notice are only estimates and are not being provided for tax reporting purposes. The actual amounts and sources of distributions for tax reporting purposes will depend upon R</w:t>
      </w:r>
      <w:r w:rsidRPr="00CE2128">
        <w:rPr>
          <w:rFonts w:ascii="Calibri" w:hAnsi="Calibri"/>
          <w:b/>
          <w:sz w:val="22"/>
          <w:szCs w:val="22"/>
        </w:rPr>
        <w:t>YLG</w:t>
      </w:r>
      <w:r>
        <w:rPr>
          <w:rFonts w:ascii="Calibri" w:hAnsi="Calibri"/>
          <w:b/>
          <w:sz w:val="22"/>
          <w:szCs w:val="22"/>
        </w:rPr>
        <w:t>’s investment experience during the remainder of the fiscal year and may be subject to changes based on tax regulations.  In early 202</w:t>
      </w:r>
      <w:r w:rsidR="000178C5">
        <w:rPr>
          <w:rFonts w:ascii="Calibri" w:hAnsi="Calibri"/>
          <w:b/>
          <w:sz w:val="22"/>
          <w:szCs w:val="22"/>
        </w:rPr>
        <w:t>7</w:t>
      </w:r>
      <w:r>
        <w:rPr>
          <w:rFonts w:ascii="Calibri" w:hAnsi="Calibri"/>
          <w:b/>
          <w:sz w:val="22"/>
          <w:szCs w:val="22"/>
        </w:rPr>
        <w:t>, after definitive information is available, R</w:t>
      </w:r>
      <w:r w:rsidRPr="00CE2128">
        <w:rPr>
          <w:rFonts w:ascii="Calibri" w:hAnsi="Calibri"/>
          <w:b/>
          <w:sz w:val="22"/>
          <w:szCs w:val="22"/>
        </w:rPr>
        <w:t>YLG</w:t>
      </w:r>
      <w:r>
        <w:rPr>
          <w:rFonts w:ascii="Calibri" w:hAnsi="Calibri"/>
          <w:b/>
          <w:sz w:val="22"/>
          <w:szCs w:val="22"/>
        </w:rPr>
        <w:t xml:space="preserve"> will send you a Form 1099-DIV for the calendar year that will inform you how to report these distributions for federal income tax purposes.</w:t>
      </w:r>
    </w:p>
    <w:p w14:paraId="1CB84027" w14:textId="77777777" w:rsidR="001C010D" w:rsidRDefault="001C010D" w:rsidP="001C010D">
      <w:pPr>
        <w:rPr>
          <w:rFonts w:ascii="Calibri" w:hAnsi="Calibri"/>
          <w:sz w:val="22"/>
          <w:szCs w:val="22"/>
        </w:rPr>
      </w:pPr>
    </w:p>
    <w:p w14:paraId="6381E98A" w14:textId="77777777" w:rsidR="001C010D" w:rsidRPr="00515A3D" w:rsidRDefault="001C010D" w:rsidP="001C010D">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09E93704" w14:textId="77777777" w:rsidR="009325D3" w:rsidRDefault="009325D3"/>
    <w:sectPr w:rsidR="009325D3"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50E0"/>
    <w:rsid w:val="00014078"/>
    <w:rsid w:val="000178C5"/>
    <w:rsid w:val="00114C63"/>
    <w:rsid w:val="001228E2"/>
    <w:rsid w:val="001C010D"/>
    <w:rsid w:val="001F7614"/>
    <w:rsid w:val="00233D5A"/>
    <w:rsid w:val="00263D95"/>
    <w:rsid w:val="00297BCF"/>
    <w:rsid w:val="002A7E42"/>
    <w:rsid w:val="00337CC5"/>
    <w:rsid w:val="003B14B5"/>
    <w:rsid w:val="003F2505"/>
    <w:rsid w:val="004254E5"/>
    <w:rsid w:val="0043558F"/>
    <w:rsid w:val="004467B6"/>
    <w:rsid w:val="005308EE"/>
    <w:rsid w:val="00545524"/>
    <w:rsid w:val="0059163E"/>
    <w:rsid w:val="005F6CFB"/>
    <w:rsid w:val="0060510D"/>
    <w:rsid w:val="0061513C"/>
    <w:rsid w:val="00680B6D"/>
    <w:rsid w:val="00730030"/>
    <w:rsid w:val="00747B42"/>
    <w:rsid w:val="007530E3"/>
    <w:rsid w:val="00813583"/>
    <w:rsid w:val="008272C8"/>
    <w:rsid w:val="00834855"/>
    <w:rsid w:val="00843119"/>
    <w:rsid w:val="008D5731"/>
    <w:rsid w:val="00926154"/>
    <w:rsid w:val="00931E48"/>
    <w:rsid w:val="009325D3"/>
    <w:rsid w:val="00947F1F"/>
    <w:rsid w:val="009663CE"/>
    <w:rsid w:val="009830B0"/>
    <w:rsid w:val="009B45E6"/>
    <w:rsid w:val="00A8568A"/>
    <w:rsid w:val="00A950E0"/>
    <w:rsid w:val="00AF21BD"/>
    <w:rsid w:val="00B21042"/>
    <w:rsid w:val="00BC295C"/>
    <w:rsid w:val="00BC6871"/>
    <w:rsid w:val="00C340EB"/>
    <w:rsid w:val="00CA2500"/>
    <w:rsid w:val="00D81933"/>
    <w:rsid w:val="00E22AA6"/>
    <w:rsid w:val="00E40108"/>
    <w:rsid w:val="00F53EE4"/>
    <w:rsid w:val="00FF67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0A9FA3"/>
  <w15:chartTrackingRefBased/>
  <w15:docId w15:val="{769A3D53-03EA-4641-97FB-11FB6906F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50E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953596">
      <w:bodyDiv w:val="1"/>
      <w:marLeft w:val="0"/>
      <w:marRight w:val="0"/>
      <w:marTop w:val="0"/>
      <w:marBottom w:val="0"/>
      <w:divBdr>
        <w:top w:val="none" w:sz="0" w:space="0" w:color="auto"/>
        <w:left w:val="none" w:sz="0" w:space="0" w:color="auto"/>
        <w:bottom w:val="none" w:sz="0" w:space="0" w:color="auto"/>
        <w:right w:val="none" w:sz="0" w:space="0" w:color="auto"/>
      </w:divBdr>
    </w:div>
    <w:div w:id="147482834">
      <w:bodyDiv w:val="1"/>
      <w:marLeft w:val="0"/>
      <w:marRight w:val="0"/>
      <w:marTop w:val="0"/>
      <w:marBottom w:val="0"/>
      <w:divBdr>
        <w:top w:val="none" w:sz="0" w:space="0" w:color="auto"/>
        <w:left w:val="none" w:sz="0" w:space="0" w:color="auto"/>
        <w:bottom w:val="none" w:sz="0" w:space="0" w:color="auto"/>
        <w:right w:val="none" w:sz="0" w:space="0" w:color="auto"/>
      </w:divBdr>
    </w:div>
    <w:div w:id="166360925">
      <w:bodyDiv w:val="1"/>
      <w:marLeft w:val="0"/>
      <w:marRight w:val="0"/>
      <w:marTop w:val="0"/>
      <w:marBottom w:val="0"/>
      <w:divBdr>
        <w:top w:val="none" w:sz="0" w:space="0" w:color="auto"/>
        <w:left w:val="none" w:sz="0" w:space="0" w:color="auto"/>
        <w:bottom w:val="none" w:sz="0" w:space="0" w:color="auto"/>
        <w:right w:val="none" w:sz="0" w:space="0" w:color="auto"/>
      </w:divBdr>
    </w:div>
    <w:div w:id="267081705">
      <w:bodyDiv w:val="1"/>
      <w:marLeft w:val="0"/>
      <w:marRight w:val="0"/>
      <w:marTop w:val="0"/>
      <w:marBottom w:val="0"/>
      <w:divBdr>
        <w:top w:val="none" w:sz="0" w:space="0" w:color="auto"/>
        <w:left w:val="none" w:sz="0" w:space="0" w:color="auto"/>
        <w:bottom w:val="none" w:sz="0" w:space="0" w:color="auto"/>
        <w:right w:val="none" w:sz="0" w:space="0" w:color="auto"/>
      </w:divBdr>
    </w:div>
    <w:div w:id="324825605">
      <w:bodyDiv w:val="1"/>
      <w:marLeft w:val="0"/>
      <w:marRight w:val="0"/>
      <w:marTop w:val="0"/>
      <w:marBottom w:val="0"/>
      <w:divBdr>
        <w:top w:val="none" w:sz="0" w:space="0" w:color="auto"/>
        <w:left w:val="none" w:sz="0" w:space="0" w:color="auto"/>
        <w:bottom w:val="none" w:sz="0" w:space="0" w:color="auto"/>
        <w:right w:val="none" w:sz="0" w:space="0" w:color="auto"/>
      </w:divBdr>
    </w:div>
    <w:div w:id="344483122">
      <w:bodyDiv w:val="1"/>
      <w:marLeft w:val="0"/>
      <w:marRight w:val="0"/>
      <w:marTop w:val="0"/>
      <w:marBottom w:val="0"/>
      <w:divBdr>
        <w:top w:val="none" w:sz="0" w:space="0" w:color="auto"/>
        <w:left w:val="none" w:sz="0" w:space="0" w:color="auto"/>
        <w:bottom w:val="none" w:sz="0" w:space="0" w:color="auto"/>
        <w:right w:val="none" w:sz="0" w:space="0" w:color="auto"/>
      </w:divBdr>
    </w:div>
    <w:div w:id="598872140">
      <w:bodyDiv w:val="1"/>
      <w:marLeft w:val="0"/>
      <w:marRight w:val="0"/>
      <w:marTop w:val="0"/>
      <w:marBottom w:val="0"/>
      <w:divBdr>
        <w:top w:val="none" w:sz="0" w:space="0" w:color="auto"/>
        <w:left w:val="none" w:sz="0" w:space="0" w:color="auto"/>
        <w:bottom w:val="none" w:sz="0" w:space="0" w:color="auto"/>
        <w:right w:val="none" w:sz="0" w:space="0" w:color="auto"/>
      </w:divBdr>
    </w:div>
    <w:div w:id="616255196">
      <w:bodyDiv w:val="1"/>
      <w:marLeft w:val="0"/>
      <w:marRight w:val="0"/>
      <w:marTop w:val="0"/>
      <w:marBottom w:val="0"/>
      <w:divBdr>
        <w:top w:val="none" w:sz="0" w:space="0" w:color="auto"/>
        <w:left w:val="none" w:sz="0" w:space="0" w:color="auto"/>
        <w:bottom w:val="none" w:sz="0" w:space="0" w:color="auto"/>
        <w:right w:val="none" w:sz="0" w:space="0" w:color="auto"/>
      </w:divBdr>
    </w:div>
    <w:div w:id="908460112">
      <w:bodyDiv w:val="1"/>
      <w:marLeft w:val="0"/>
      <w:marRight w:val="0"/>
      <w:marTop w:val="0"/>
      <w:marBottom w:val="0"/>
      <w:divBdr>
        <w:top w:val="none" w:sz="0" w:space="0" w:color="auto"/>
        <w:left w:val="none" w:sz="0" w:space="0" w:color="auto"/>
        <w:bottom w:val="none" w:sz="0" w:space="0" w:color="auto"/>
        <w:right w:val="none" w:sz="0" w:space="0" w:color="auto"/>
      </w:divBdr>
    </w:div>
    <w:div w:id="1072043324">
      <w:bodyDiv w:val="1"/>
      <w:marLeft w:val="0"/>
      <w:marRight w:val="0"/>
      <w:marTop w:val="0"/>
      <w:marBottom w:val="0"/>
      <w:divBdr>
        <w:top w:val="none" w:sz="0" w:space="0" w:color="auto"/>
        <w:left w:val="none" w:sz="0" w:space="0" w:color="auto"/>
        <w:bottom w:val="none" w:sz="0" w:space="0" w:color="auto"/>
        <w:right w:val="none" w:sz="0" w:space="0" w:color="auto"/>
      </w:divBdr>
    </w:div>
    <w:div w:id="1193113373">
      <w:bodyDiv w:val="1"/>
      <w:marLeft w:val="0"/>
      <w:marRight w:val="0"/>
      <w:marTop w:val="0"/>
      <w:marBottom w:val="0"/>
      <w:divBdr>
        <w:top w:val="none" w:sz="0" w:space="0" w:color="auto"/>
        <w:left w:val="none" w:sz="0" w:space="0" w:color="auto"/>
        <w:bottom w:val="none" w:sz="0" w:space="0" w:color="auto"/>
        <w:right w:val="none" w:sz="0" w:space="0" w:color="auto"/>
      </w:divBdr>
    </w:div>
    <w:div w:id="1434400513">
      <w:bodyDiv w:val="1"/>
      <w:marLeft w:val="0"/>
      <w:marRight w:val="0"/>
      <w:marTop w:val="0"/>
      <w:marBottom w:val="0"/>
      <w:divBdr>
        <w:top w:val="none" w:sz="0" w:space="0" w:color="auto"/>
        <w:left w:val="none" w:sz="0" w:space="0" w:color="auto"/>
        <w:bottom w:val="none" w:sz="0" w:space="0" w:color="auto"/>
        <w:right w:val="none" w:sz="0" w:space="0" w:color="auto"/>
      </w:divBdr>
    </w:div>
    <w:div w:id="1522621926">
      <w:bodyDiv w:val="1"/>
      <w:marLeft w:val="0"/>
      <w:marRight w:val="0"/>
      <w:marTop w:val="0"/>
      <w:marBottom w:val="0"/>
      <w:divBdr>
        <w:top w:val="none" w:sz="0" w:space="0" w:color="auto"/>
        <w:left w:val="none" w:sz="0" w:space="0" w:color="auto"/>
        <w:bottom w:val="none" w:sz="0" w:space="0" w:color="auto"/>
        <w:right w:val="none" w:sz="0" w:space="0" w:color="auto"/>
      </w:divBdr>
    </w:div>
    <w:div w:id="1547714126">
      <w:bodyDiv w:val="1"/>
      <w:marLeft w:val="0"/>
      <w:marRight w:val="0"/>
      <w:marTop w:val="0"/>
      <w:marBottom w:val="0"/>
      <w:divBdr>
        <w:top w:val="none" w:sz="0" w:space="0" w:color="auto"/>
        <w:left w:val="none" w:sz="0" w:space="0" w:color="auto"/>
        <w:bottom w:val="none" w:sz="0" w:space="0" w:color="auto"/>
        <w:right w:val="none" w:sz="0" w:space="0" w:color="auto"/>
      </w:divBdr>
    </w:div>
    <w:div w:id="1717587818">
      <w:bodyDiv w:val="1"/>
      <w:marLeft w:val="0"/>
      <w:marRight w:val="0"/>
      <w:marTop w:val="0"/>
      <w:marBottom w:val="0"/>
      <w:divBdr>
        <w:top w:val="none" w:sz="0" w:space="0" w:color="auto"/>
        <w:left w:val="none" w:sz="0" w:space="0" w:color="auto"/>
        <w:bottom w:val="none" w:sz="0" w:space="0" w:color="auto"/>
        <w:right w:val="none" w:sz="0" w:space="0" w:color="auto"/>
      </w:divBdr>
    </w:div>
    <w:div w:id="1726637370">
      <w:bodyDiv w:val="1"/>
      <w:marLeft w:val="0"/>
      <w:marRight w:val="0"/>
      <w:marTop w:val="0"/>
      <w:marBottom w:val="0"/>
      <w:divBdr>
        <w:top w:val="none" w:sz="0" w:space="0" w:color="auto"/>
        <w:left w:val="none" w:sz="0" w:space="0" w:color="auto"/>
        <w:bottom w:val="none" w:sz="0" w:space="0" w:color="auto"/>
        <w:right w:val="none" w:sz="0" w:space="0" w:color="auto"/>
      </w:divBdr>
    </w:div>
    <w:div w:id="1769302645">
      <w:bodyDiv w:val="1"/>
      <w:marLeft w:val="0"/>
      <w:marRight w:val="0"/>
      <w:marTop w:val="0"/>
      <w:marBottom w:val="0"/>
      <w:divBdr>
        <w:top w:val="none" w:sz="0" w:space="0" w:color="auto"/>
        <w:left w:val="none" w:sz="0" w:space="0" w:color="auto"/>
        <w:bottom w:val="none" w:sz="0" w:space="0" w:color="auto"/>
        <w:right w:val="none" w:sz="0" w:space="0" w:color="auto"/>
      </w:divBdr>
    </w:div>
    <w:div w:id="1783067497">
      <w:bodyDiv w:val="1"/>
      <w:marLeft w:val="0"/>
      <w:marRight w:val="0"/>
      <w:marTop w:val="0"/>
      <w:marBottom w:val="0"/>
      <w:divBdr>
        <w:top w:val="none" w:sz="0" w:space="0" w:color="auto"/>
        <w:left w:val="none" w:sz="0" w:space="0" w:color="auto"/>
        <w:bottom w:val="none" w:sz="0" w:space="0" w:color="auto"/>
        <w:right w:val="none" w:sz="0" w:space="0" w:color="auto"/>
      </w:divBdr>
    </w:div>
    <w:div w:id="1909802356">
      <w:bodyDiv w:val="1"/>
      <w:marLeft w:val="0"/>
      <w:marRight w:val="0"/>
      <w:marTop w:val="0"/>
      <w:marBottom w:val="0"/>
      <w:divBdr>
        <w:top w:val="none" w:sz="0" w:space="0" w:color="auto"/>
        <w:left w:val="none" w:sz="0" w:space="0" w:color="auto"/>
        <w:bottom w:val="none" w:sz="0" w:space="0" w:color="auto"/>
        <w:right w:val="none" w:sz="0" w:space="0" w:color="auto"/>
      </w:divBdr>
    </w:div>
    <w:div w:id="2111970642">
      <w:bodyDiv w:val="1"/>
      <w:marLeft w:val="0"/>
      <w:marRight w:val="0"/>
      <w:marTop w:val="0"/>
      <w:marBottom w:val="0"/>
      <w:divBdr>
        <w:top w:val="none" w:sz="0" w:space="0" w:color="auto"/>
        <w:left w:val="none" w:sz="0" w:space="0" w:color="auto"/>
        <w:bottom w:val="none" w:sz="0" w:space="0" w:color="auto"/>
        <w:right w:val="none" w:sz="0" w:space="0" w:color="auto"/>
      </w:divBdr>
    </w:div>
    <w:div w:id="21412181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140</TotalTime>
  <Pages>1</Pages>
  <Words>286</Words>
  <Characters>1533</Characters>
  <Application>Microsoft Office Word</Application>
  <DocSecurity>0</DocSecurity>
  <Lines>51</Lines>
  <Paragraphs>34</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Pauley, Steven J.</cp:lastModifiedBy>
  <cp:revision>26</cp:revision>
  <dcterms:created xsi:type="dcterms:W3CDTF">2024-05-06T17:47:00Z</dcterms:created>
  <dcterms:modified xsi:type="dcterms:W3CDTF">2025-12-29T18:51:00Z</dcterms:modified>
</cp:coreProperties>
</file>