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1A96" w14:textId="77777777" w:rsidR="00C875B2" w:rsidRPr="00515A3D" w:rsidRDefault="00C875B2" w:rsidP="00C875B2">
      <w:pPr>
        <w:rPr>
          <w:rFonts w:ascii="Calibri" w:hAnsi="Calibri"/>
          <w:b/>
        </w:rPr>
      </w:pPr>
      <w:r w:rsidRPr="00411637">
        <w:rPr>
          <w:rFonts w:ascii="Calibri" w:hAnsi="Calibri"/>
          <w:b/>
        </w:rPr>
        <w:t>Global X Variable Rate Preferred ETF</w:t>
      </w:r>
      <w:r w:rsidRPr="000367B4">
        <w:rPr>
          <w:rFonts w:ascii="Calibri" w:hAnsi="Calibri"/>
          <w:b/>
        </w:rPr>
        <w:t> </w:t>
      </w:r>
    </w:p>
    <w:p w14:paraId="48E1C655" w14:textId="77777777" w:rsidR="00C875B2" w:rsidRPr="000B254F" w:rsidRDefault="00C875B2" w:rsidP="00C875B2">
      <w:pPr>
        <w:rPr>
          <w:rFonts w:ascii="Calibri" w:hAnsi="Calibri"/>
          <w:sz w:val="22"/>
          <w:szCs w:val="22"/>
        </w:rPr>
      </w:pPr>
      <w:r>
        <w:rPr>
          <w:rFonts w:ascii="Calibri" w:hAnsi="Calibri"/>
          <w:sz w:val="22"/>
          <w:szCs w:val="22"/>
        </w:rPr>
        <w:t>Cusip:</w:t>
      </w:r>
      <w:r>
        <w:rPr>
          <w:rFonts w:ascii="Calibri" w:hAnsi="Calibri"/>
          <w:sz w:val="22"/>
          <w:szCs w:val="22"/>
        </w:rPr>
        <w:tab/>
      </w:r>
      <w:r w:rsidRPr="00411637">
        <w:rPr>
          <w:rFonts w:ascii="Calibri" w:hAnsi="Calibri"/>
          <w:sz w:val="22"/>
          <w:szCs w:val="22"/>
        </w:rPr>
        <w:t>37954Y376</w:t>
      </w:r>
    </w:p>
    <w:p w14:paraId="18827C8E" w14:textId="77777777" w:rsidR="00C875B2" w:rsidRPr="000B254F" w:rsidRDefault="00C875B2" w:rsidP="00C875B2">
      <w:pPr>
        <w:rPr>
          <w:rFonts w:ascii="Calibri" w:hAnsi="Calibri"/>
          <w:sz w:val="22"/>
          <w:szCs w:val="22"/>
        </w:rPr>
      </w:pPr>
      <w:r>
        <w:rPr>
          <w:rFonts w:ascii="Calibri" w:hAnsi="Calibri"/>
          <w:sz w:val="22"/>
          <w:szCs w:val="22"/>
        </w:rPr>
        <w:t>Ticker:</w:t>
      </w:r>
      <w:r>
        <w:rPr>
          <w:rFonts w:ascii="Calibri" w:hAnsi="Calibri"/>
          <w:sz w:val="22"/>
          <w:szCs w:val="22"/>
        </w:rPr>
        <w:tab/>
        <w:t>PFFV</w:t>
      </w:r>
    </w:p>
    <w:p w14:paraId="60F1069C" w14:textId="77777777" w:rsidR="00C875B2" w:rsidRPr="000B254F" w:rsidRDefault="00C875B2" w:rsidP="00C875B2">
      <w:pPr>
        <w:rPr>
          <w:rFonts w:ascii="Calibri" w:hAnsi="Calibri"/>
          <w:sz w:val="22"/>
          <w:szCs w:val="22"/>
        </w:rPr>
      </w:pPr>
    </w:p>
    <w:p w14:paraId="6537BDBD" w14:textId="50A6C34B" w:rsidR="00024D6F" w:rsidRPr="00024D6F" w:rsidRDefault="00024D6F" w:rsidP="00024D6F">
      <w:pPr>
        <w:rPr>
          <w:rFonts w:ascii="Calibri" w:hAnsi="Calibri"/>
          <w:sz w:val="22"/>
          <w:szCs w:val="22"/>
        </w:rPr>
      </w:pPr>
      <w:r w:rsidRPr="00024D6F">
        <w:rPr>
          <w:rFonts w:ascii="Calibri" w:hAnsi="Calibri"/>
          <w:sz w:val="22"/>
          <w:szCs w:val="22"/>
        </w:rPr>
        <w:t>Record Date:</w:t>
      </w:r>
      <w:r w:rsidRPr="00024D6F">
        <w:rPr>
          <w:rFonts w:ascii="Calibri" w:hAnsi="Calibri"/>
          <w:sz w:val="22"/>
          <w:szCs w:val="22"/>
        </w:rPr>
        <w:tab/>
      </w:r>
      <w:r w:rsidRPr="00024D6F">
        <w:rPr>
          <w:rFonts w:ascii="Calibri" w:hAnsi="Calibri"/>
          <w:sz w:val="22"/>
          <w:szCs w:val="22"/>
        </w:rPr>
        <w:tab/>
      </w:r>
      <w:r w:rsidRPr="00024D6F">
        <w:rPr>
          <w:rFonts w:ascii="Calibri" w:hAnsi="Calibri"/>
          <w:sz w:val="22"/>
          <w:szCs w:val="22"/>
        </w:rPr>
        <w:tab/>
      </w:r>
      <w:bookmarkStart w:id="0" w:name="_Hlk197073575"/>
      <w:r w:rsidRPr="00024D6F">
        <w:rPr>
          <w:rFonts w:ascii="Calibri" w:hAnsi="Calibri"/>
          <w:sz w:val="22"/>
          <w:szCs w:val="22"/>
        </w:rPr>
        <w:t>Ju</w:t>
      </w:r>
      <w:r w:rsidR="0053207A">
        <w:rPr>
          <w:rFonts w:ascii="Calibri" w:hAnsi="Calibri"/>
          <w:sz w:val="22"/>
          <w:szCs w:val="22"/>
        </w:rPr>
        <w:t>ly</w:t>
      </w:r>
      <w:r w:rsidRPr="00024D6F">
        <w:rPr>
          <w:rFonts w:ascii="Calibri" w:hAnsi="Calibri"/>
          <w:sz w:val="22"/>
          <w:szCs w:val="22"/>
        </w:rPr>
        <w:t xml:space="preserve"> 1, 2026</w:t>
      </w:r>
    </w:p>
    <w:p w14:paraId="2676F2DF" w14:textId="31AA13AD" w:rsidR="00024D6F" w:rsidRPr="00024D6F" w:rsidRDefault="00024D6F" w:rsidP="00024D6F">
      <w:pPr>
        <w:rPr>
          <w:rFonts w:ascii="Calibri" w:hAnsi="Calibri"/>
          <w:sz w:val="22"/>
          <w:szCs w:val="22"/>
        </w:rPr>
      </w:pPr>
      <w:r w:rsidRPr="00024D6F">
        <w:rPr>
          <w:rFonts w:ascii="Calibri" w:hAnsi="Calibri"/>
          <w:sz w:val="22"/>
          <w:szCs w:val="22"/>
        </w:rPr>
        <w:t>Pay Date:</w:t>
      </w:r>
      <w:r w:rsidRPr="00024D6F">
        <w:rPr>
          <w:rFonts w:ascii="Calibri" w:hAnsi="Calibri"/>
          <w:sz w:val="22"/>
          <w:szCs w:val="22"/>
        </w:rPr>
        <w:tab/>
      </w:r>
      <w:r w:rsidRPr="00024D6F">
        <w:rPr>
          <w:rFonts w:ascii="Calibri" w:hAnsi="Calibri"/>
          <w:sz w:val="22"/>
          <w:szCs w:val="22"/>
        </w:rPr>
        <w:tab/>
      </w:r>
      <w:r w:rsidRPr="00024D6F">
        <w:rPr>
          <w:rFonts w:ascii="Calibri" w:hAnsi="Calibri"/>
          <w:sz w:val="22"/>
          <w:szCs w:val="22"/>
        </w:rPr>
        <w:tab/>
        <w:t>Ju</w:t>
      </w:r>
      <w:r w:rsidR="0053207A">
        <w:rPr>
          <w:rFonts w:ascii="Calibri" w:hAnsi="Calibri"/>
          <w:sz w:val="22"/>
          <w:szCs w:val="22"/>
        </w:rPr>
        <w:t>ly</w:t>
      </w:r>
      <w:r w:rsidRPr="00024D6F">
        <w:rPr>
          <w:rFonts w:ascii="Calibri" w:hAnsi="Calibri"/>
          <w:sz w:val="22"/>
          <w:szCs w:val="22"/>
        </w:rPr>
        <w:t xml:space="preserve"> </w:t>
      </w:r>
      <w:r w:rsidR="0053207A">
        <w:rPr>
          <w:rFonts w:ascii="Calibri" w:hAnsi="Calibri"/>
          <w:sz w:val="22"/>
          <w:szCs w:val="22"/>
        </w:rPr>
        <w:t>7</w:t>
      </w:r>
      <w:r w:rsidRPr="00024D6F">
        <w:rPr>
          <w:rFonts w:ascii="Calibri" w:hAnsi="Calibri"/>
          <w:sz w:val="22"/>
          <w:szCs w:val="22"/>
        </w:rPr>
        <w:t>, 202</w:t>
      </w:r>
      <w:bookmarkEnd w:id="0"/>
      <w:r w:rsidRPr="00024D6F">
        <w:rPr>
          <w:rFonts w:ascii="Calibri" w:hAnsi="Calibri"/>
          <w:sz w:val="22"/>
          <w:szCs w:val="22"/>
        </w:rPr>
        <w:t>6</w:t>
      </w:r>
    </w:p>
    <w:p w14:paraId="06CCFDB3" w14:textId="6AC55479" w:rsidR="00C875B2" w:rsidRDefault="00C875B2" w:rsidP="00A053D7">
      <w:pPr>
        <w:rPr>
          <w:rFonts w:ascii="Calibri" w:hAnsi="Calibri"/>
          <w:sz w:val="22"/>
          <w:szCs w:val="22"/>
        </w:rPr>
      </w:pPr>
    </w:p>
    <w:p w14:paraId="012D768D" w14:textId="64C6C4EA" w:rsidR="00C875B2" w:rsidRDefault="00C875B2" w:rsidP="00C875B2">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024D6F">
        <w:rPr>
          <w:rFonts w:ascii="Calibri" w:hAnsi="Calibri"/>
          <w:b/>
          <w:sz w:val="22"/>
          <w:szCs w:val="22"/>
        </w:rPr>
        <w:t>1313</w:t>
      </w:r>
    </w:p>
    <w:p w14:paraId="4829AD61" w14:textId="77777777" w:rsidR="00C875B2" w:rsidRPr="000B254F" w:rsidRDefault="00C875B2" w:rsidP="00C875B2">
      <w:pPr>
        <w:rPr>
          <w:rFonts w:ascii="Calibri" w:hAnsi="Calibri"/>
          <w:sz w:val="22"/>
          <w:szCs w:val="22"/>
        </w:rPr>
      </w:pPr>
    </w:p>
    <w:p w14:paraId="01ED37E3" w14:textId="0E739EB4" w:rsidR="00C875B2" w:rsidRPr="000B254F" w:rsidRDefault="00C875B2" w:rsidP="00C875B2">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w:t>
      </w:r>
      <w:r w:rsidR="008C266F">
        <w:rPr>
          <w:rFonts w:ascii="Calibri" w:hAnsi="Calibri"/>
          <w:sz w:val="22"/>
          <w:szCs w:val="22"/>
        </w:rPr>
        <w:t xml:space="preserve"> and </w:t>
      </w:r>
      <w:r w:rsidRPr="000B254F">
        <w:rPr>
          <w:rFonts w:ascii="Calibri" w:hAnsi="Calibri"/>
          <w:sz w:val="22"/>
          <w:szCs w:val="22"/>
        </w:rPr>
        <w:t>return of capital. All amounts are expressed per capital share.</w:t>
      </w:r>
    </w:p>
    <w:p w14:paraId="0485AFA6" w14:textId="77777777" w:rsidR="00C875B2" w:rsidRDefault="00C875B2" w:rsidP="00C875B2"/>
    <w:tbl>
      <w:tblPr>
        <w:tblW w:w="12168" w:type="dxa"/>
        <w:tblInd w:w="288" w:type="dxa"/>
        <w:tblLook w:val="01E0" w:firstRow="1" w:lastRow="1" w:firstColumn="1" w:lastColumn="1" w:noHBand="0" w:noVBand="0"/>
      </w:tblPr>
      <w:tblGrid>
        <w:gridCol w:w="2628"/>
        <w:gridCol w:w="1446"/>
        <w:gridCol w:w="1974"/>
        <w:gridCol w:w="2700"/>
        <w:gridCol w:w="3420"/>
      </w:tblGrid>
      <w:tr w:rsidR="00C875B2" w14:paraId="453DCB6D" w14:textId="77777777" w:rsidTr="00AC1AB2">
        <w:tc>
          <w:tcPr>
            <w:tcW w:w="2628" w:type="dxa"/>
          </w:tcPr>
          <w:p w14:paraId="17B01EEB" w14:textId="77777777" w:rsidR="00C875B2" w:rsidRPr="001D0340" w:rsidRDefault="00C875B2" w:rsidP="00AC1AB2">
            <w:pPr>
              <w:rPr>
                <w:rFonts w:ascii="Calibri" w:hAnsi="Calibri"/>
                <w:sz w:val="20"/>
                <w:szCs w:val="20"/>
              </w:rPr>
            </w:pPr>
          </w:p>
        </w:tc>
        <w:tc>
          <w:tcPr>
            <w:tcW w:w="1446" w:type="dxa"/>
            <w:tcBorders>
              <w:bottom w:val="single" w:sz="4" w:space="0" w:color="auto"/>
            </w:tcBorders>
          </w:tcPr>
          <w:p w14:paraId="5A9EDCE6" w14:textId="77777777" w:rsidR="00C875B2" w:rsidRPr="001D0340" w:rsidRDefault="00C875B2"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1B8D55B6" w14:textId="77777777" w:rsidR="00C875B2" w:rsidRPr="001D0340" w:rsidRDefault="00C875B2"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81DE35D" w14:textId="77777777" w:rsidR="00C875B2" w:rsidRPr="001D0340" w:rsidRDefault="00C875B2"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DA81BC2" w14:textId="77777777" w:rsidR="00C875B2" w:rsidRPr="001D0340" w:rsidRDefault="00C875B2"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C875B2" w14:paraId="528E845D" w14:textId="77777777" w:rsidTr="00AC1AB2">
        <w:tc>
          <w:tcPr>
            <w:tcW w:w="2628" w:type="dxa"/>
          </w:tcPr>
          <w:p w14:paraId="6EB1E84A" w14:textId="77777777" w:rsidR="00C875B2" w:rsidRPr="001D0340" w:rsidRDefault="00C875B2"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A295AF7" w14:textId="1D756CD2"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53207A">
              <w:rPr>
                <w:rFonts w:ascii="Calibri" w:hAnsi="Calibri"/>
                <w:sz w:val="20"/>
                <w:szCs w:val="20"/>
              </w:rPr>
              <w:t>1313</w:t>
            </w:r>
          </w:p>
        </w:tc>
        <w:tc>
          <w:tcPr>
            <w:tcW w:w="1974" w:type="dxa"/>
            <w:tcBorders>
              <w:top w:val="single" w:sz="4" w:space="0" w:color="auto"/>
            </w:tcBorders>
          </w:tcPr>
          <w:p w14:paraId="5F9387C6" w14:textId="666BA947" w:rsidR="00C875B2" w:rsidRPr="001D0340" w:rsidRDefault="00C875B2" w:rsidP="00B55E6C">
            <w:pPr>
              <w:rPr>
                <w:rFonts w:ascii="Calibri" w:hAnsi="Calibri"/>
                <w:sz w:val="20"/>
                <w:szCs w:val="20"/>
              </w:rPr>
            </w:pPr>
            <w:r>
              <w:rPr>
                <w:rFonts w:ascii="Calibri" w:hAnsi="Calibri"/>
                <w:sz w:val="20"/>
                <w:szCs w:val="20"/>
              </w:rPr>
              <w:t xml:space="preserve">          </w:t>
            </w:r>
            <w:r w:rsidR="007F163B">
              <w:rPr>
                <w:rFonts w:ascii="Calibri" w:hAnsi="Calibri"/>
                <w:sz w:val="20"/>
                <w:szCs w:val="20"/>
              </w:rPr>
              <w:t xml:space="preserve"> </w:t>
            </w:r>
            <w:r w:rsidR="004C5B71">
              <w:rPr>
                <w:rFonts w:ascii="Calibri" w:hAnsi="Calibri"/>
                <w:sz w:val="20"/>
                <w:szCs w:val="20"/>
              </w:rPr>
              <w:t xml:space="preserve"> </w:t>
            </w:r>
            <w:r w:rsidR="0053207A">
              <w:rPr>
                <w:rFonts w:ascii="Calibri" w:hAnsi="Calibri"/>
                <w:sz w:val="20"/>
                <w:szCs w:val="20"/>
              </w:rPr>
              <w:t>100.00</w:t>
            </w:r>
            <w:r w:rsidRPr="001D0340">
              <w:rPr>
                <w:rFonts w:ascii="Calibri" w:hAnsi="Calibri"/>
                <w:sz w:val="20"/>
                <w:szCs w:val="20"/>
              </w:rPr>
              <w:t>%</w:t>
            </w:r>
          </w:p>
        </w:tc>
        <w:tc>
          <w:tcPr>
            <w:tcW w:w="2700" w:type="dxa"/>
            <w:tcBorders>
              <w:top w:val="single" w:sz="4" w:space="0" w:color="auto"/>
            </w:tcBorders>
          </w:tcPr>
          <w:p w14:paraId="39CCB329" w14:textId="4C0365B3" w:rsidR="00C875B2" w:rsidRPr="001D0340" w:rsidRDefault="006C0D07" w:rsidP="00B55E6C">
            <w:pPr>
              <w:tabs>
                <w:tab w:val="left" w:pos="1289"/>
              </w:tabs>
              <w:ind w:right="266"/>
              <w:jc w:val="center"/>
              <w:rPr>
                <w:rFonts w:ascii="Calibri" w:hAnsi="Calibri"/>
                <w:sz w:val="20"/>
                <w:szCs w:val="20"/>
              </w:rPr>
            </w:pPr>
            <w:r>
              <w:rPr>
                <w:rFonts w:ascii="Calibri" w:hAnsi="Calibri"/>
                <w:sz w:val="20"/>
                <w:szCs w:val="20"/>
              </w:rPr>
              <w:t>$</w:t>
            </w:r>
            <w:r w:rsidR="0053207A">
              <w:rPr>
                <w:rFonts w:ascii="Calibri" w:hAnsi="Calibri"/>
                <w:sz w:val="20"/>
                <w:szCs w:val="20"/>
              </w:rPr>
              <w:t>1.0155</w:t>
            </w:r>
          </w:p>
        </w:tc>
        <w:tc>
          <w:tcPr>
            <w:tcW w:w="3420" w:type="dxa"/>
            <w:tcBorders>
              <w:top w:val="single" w:sz="4" w:space="0" w:color="auto"/>
            </w:tcBorders>
          </w:tcPr>
          <w:p w14:paraId="7D020BE0" w14:textId="7B6968A0" w:rsidR="00C875B2" w:rsidRPr="001D0340" w:rsidRDefault="00C875B2" w:rsidP="00B55E6C">
            <w:pPr>
              <w:rPr>
                <w:rFonts w:ascii="Calibri" w:hAnsi="Calibri"/>
                <w:sz w:val="20"/>
                <w:szCs w:val="20"/>
              </w:rPr>
            </w:pPr>
            <w:r>
              <w:rPr>
                <w:rFonts w:ascii="Calibri" w:hAnsi="Calibri"/>
                <w:sz w:val="20"/>
                <w:szCs w:val="20"/>
              </w:rPr>
              <w:t xml:space="preserve">                         </w:t>
            </w:r>
            <w:r w:rsidR="00C15E0C">
              <w:rPr>
                <w:rFonts w:ascii="Calibri" w:hAnsi="Calibri"/>
                <w:sz w:val="20"/>
                <w:szCs w:val="20"/>
              </w:rPr>
              <w:t xml:space="preserve"> </w:t>
            </w:r>
            <w:r>
              <w:rPr>
                <w:rFonts w:ascii="Calibri" w:hAnsi="Calibri"/>
                <w:sz w:val="20"/>
                <w:szCs w:val="20"/>
              </w:rPr>
              <w:t xml:space="preserve">   </w:t>
            </w:r>
            <w:r w:rsidR="0053207A">
              <w:rPr>
                <w:rFonts w:ascii="Calibri" w:hAnsi="Calibri"/>
                <w:sz w:val="20"/>
                <w:szCs w:val="20"/>
              </w:rPr>
              <w:t>81.64</w:t>
            </w:r>
            <w:r w:rsidRPr="001D0340">
              <w:rPr>
                <w:rFonts w:ascii="Calibri" w:hAnsi="Calibri"/>
                <w:sz w:val="20"/>
                <w:szCs w:val="20"/>
              </w:rPr>
              <w:t>%</w:t>
            </w:r>
          </w:p>
        </w:tc>
      </w:tr>
      <w:tr w:rsidR="00C875B2" w14:paraId="4C643A76" w14:textId="77777777" w:rsidTr="00AC1AB2">
        <w:tc>
          <w:tcPr>
            <w:tcW w:w="2628" w:type="dxa"/>
          </w:tcPr>
          <w:p w14:paraId="5490EB48" w14:textId="77777777" w:rsidR="00C875B2" w:rsidRPr="001D0340" w:rsidRDefault="00C875B2"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69F17D3" w14:textId="36604558"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9E3268">
              <w:rPr>
                <w:rFonts w:ascii="Calibri" w:hAnsi="Calibri"/>
                <w:sz w:val="20"/>
                <w:szCs w:val="20"/>
              </w:rPr>
              <w:t>0</w:t>
            </w:r>
            <w:r w:rsidR="0053207A">
              <w:rPr>
                <w:rFonts w:ascii="Calibri" w:hAnsi="Calibri"/>
                <w:sz w:val="20"/>
                <w:szCs w:val="20"/>
              </w:rPr>
              <w:t>000</w:t>
            </w:r>
          </w:p>
        </w:tc>
        <w:tc>
          <w:tcPr>
            <w:tcW w:w="1974" w:type="dxa"/>
            <w:tcBorders>
              <w:bottom w:val="single" w:sz="4" w:space="0" w:color="auto"/>
            </w:tcBorders>
          </w:tcPr>
          <w:p w14:paraId="3061DE5B" w14:textId="71D73321" w:rsidR="00C875B2" w:rsidRPr="001D0340" w:rsidRDefault="00C875B2" w:rsidP="00474A51">
            <w:pPr>
              <w:jc w:val="center"/>
              <w:rPr>
                <w:rFonts w:ascii="Calibri" w:hAnsi="Calibri"/>
                <w:sz w:val="20"/>
                <w:szCs w:val="20"/>
              </w:rPr>
            </w:pPr>
            <w:r>
              <w:rPr>
                <w:rFonts w:ascii="Calibri" w:hAnsi="Calibri"/>
                <w:sz w:val="20"/>
                <w:szCs w:val="20"/>
              </w:rPr>
              <w:t xml:space="preserve"> </w:t>
            </w:r>
            <w:r w:rsidR="00C15E0C">
              <w:rPr>
                <w:rFonts w:ascii="Calibri" w:hAnsi="Calibri"/>
                <w:sz w:val="20"/>
                <w:szCs w:val="20"/>
              </w:rPr>
              <w:t xml:space="preserve"> </w:t>
            </w:r>
            <w:r w:rsidR="0053207A">
              <w:rPr>
                <w:rFonts w:ascii="Calibri" w:hAnsi="Calibri"/>
                <w:sz w:val="20"/>
                <w:szCs w:val="20"/>
              </w:rPr>
              <w:t>0.00</w:t>
            </w:r>
            <w:r w:rsidR="005A6F56">
              <w:rPr>
                <w:rFonts w:ascii="Calibri" w:hAnsi="Calibri"/>
                <w:sz w:val="20"/>
                <w:szCs w:val="20"/>
              </w:rPr>
              <w:t>%</w:t>
            </w:r>
          </w:p>
        </w:tc>
        <w:tc>
          <w:tcPr>
            <w:tcW w:w="2700" w:type="dxa"/>
            <w:tcBorders>
              <w:bottom w:val="single" w:sz="4" w:space="0" w:color="auto"/>
            </w:tcBorders>
          </w:tcPr>
          <w:p w14:paraId="359C27B2" w14:textId="68518871"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53207A">
              <w:rPr>
                <w:rFonts w:ascii="Calibri" w:hAnsi="Calibri"/>
                <w:sz w:val="20"/>
                <w:szCs w:val="20"/>
              </w:rPr>
              <w:t>2283</w:t>
            </w:r>
          </w:p>
        </w:tc>
        <w:tc>
          <w:tcPr>
            <w:tcW w:w="3420" w:type="dxa"/>
            <w:tcBorders>
              <w:bottom w:val="single" w:sz="4" w:space="0" w:color="auto"/>
            </w:tcBorders>
          </w:tcPr>
          <w:p w14:paraId="42AB9AF3" w14:textId="7F4170F3" w:rsidR="00C875B2" w:rsidRPr="001D0340" w:rsidRDefault="0053207A" w:rsidP="00AC1AB2">
            <w:pPr>
              <w:jc w:val="center"/>
              <w:rPr>
                <w:rFonts w:ascii="Calibri" w:hAnsi="Calibri"/>
                <w:sz w:val="20"/>
                <w:szCs w:val="20"/>
              </w:rPr>
            </w:pPr>
            <w:r>
              <w:rPr>
                <w:rFonts w:ascii="Calibri" w:hAnsi="Calibri"/>
                <w:sz w:val="20"/>
                <w:szCs w:val="20"/>
              </w:rPr>
              <w:t>18.36</w:t>
            </w:r>
            <w:r w:rsidR="00C875B2" w:rsidRPr="001D0340">
              <w:rPr>
                <w:rFonts w:ascii="Calibri" w:hAnsi="Calibri"/>
                <w:sz w:val="20"/>
                <w:szCs w:val="20"/>
              </w:rPr>
              <w:t>%</w:t>
            </w:r>
          </w:p>
        </w:tc>
      </w:tr>
      <w:tr w:rsidR="00332611" w14:paraId="75DE3A21" w14:textId="77777777" w:rsidTr="001D2F6E">
        <w:tc>
          <w:tcPr>
            <w:tcW w:w="2628" w:type="dxa"/>
          </w:tcPr>
          <w:p w14:paraId="3C23A712" w14:textId="77777777" w:rsidR="00332611" w:rsidRPr="001D0340" w:rsidRDefault="0033261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bottom w:val="single" w:sz="4" w:space="0" w:color="auto"/>
            </w:tcBorders>
          </w:tcPr>
          <w:p w14:paraId="3ECD2E16" w14:textId="4672ACDE" w:rsidR="00332611" w:rsidRPr="001D0340" w:rsidRDefault="00332611" w:rsidP="00F01AB6">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1313</w:t>
            </w:r>
          </w:p>
        </w:tc>
        <w:tc>
          <w:tcPr>
            <w:tcW w:w="1974" w:type="dxa"/>
            <w:tcBorders>
              <w:top w:val="single" w:sz="4" w:space="0" w:color="auto"/>
              <w:bottom w:val="single" w:sz="4" w:space="0" w:color="auto"/>
            </w:tcBorders>
          </w:tcPr>
          <w:p w14:paraId="606DE5F2" w14:textId="77777777" w:rsidR="00332611" w:rsidRPr="001D0340" w:rsidRDefault="00332611"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31B5A97" w14:textId="342BB7FE" w:rsidR="00332611" w:rsidRPr="001D0340" w:rsidRDefault="00332611" w:rsidP="00B55E6C">
            <w:pPr>
              <w:tabs>
                <w:tab w:val="left" w:pos="1289"/>
              </w:tabs>
              <w:ind w:right="266"/>
              <w:jc w:val="center"/>
              <w:rPr>
                <w:rFonts w:ascii="Calibri" w:hAnsi="Calibri"/>
                <w:sz w:val="20"/>
                <w:szCs w:val="20"/>
              </w:rPr>
            </w:pPr>
            <w:r>
              <w:rPr>
                <w:rFonts w:ascii="Calibri" w:hAnsi="Calibri"/>
                <w:sz w:val="20"/>
                <w:szCs w:val="20"/>
              </w:rPr>
              <w:t>$1.2438</w:t>
            </w:r>
          </w:p>
        </w:tc>
        <w:tc>
          <w:tcPr>
            <w:tcW w:w="3420" w:type="dxa"/>
            <w:tcBorders>
              <w:top w:val="single" w:sz="4" w:space="0" w:color="auto"/>
              <w:bottom w:val="single" w:sz="4" w:space="0" w:color="auto"/>
            </w:tcBorders>
          </w:tcPr>
          <w:p w14:paraId="7B6F3F59" w14:textId="77777777" w:rsidR="00332611" w:rsidRPr="001D0340" w:rsidRDefault="00332611" w:rsidP="00AC1AB2">
            <w:pPr>
              <w:jc w:val="center"/>
              <w:rPr>
                <w:rFonts w:ascii="Calibri" w:hAnsi="Calibri"/>
                <w:sz w:val="20"/>
                <w:szCs w:val="20"/>
              </w:rPr>
            </w:pPr>
            <w:r w:rsidRPr="001D0340">
              <w:rPr>
                <w:rFonts w:ascii="Calibri" w:hAnsi="Calibri"/>
                <w:sz w:val="20"/>
                <w:szCs w:val="20"/>
              </w:rPr>
              <w:t>100.00%</w:t>
            </w:r>
          </w:p>
        </w:tc>
      </w:tr>
      <w:tr w:rsidR="00332611" w14:paraId="3CCE0A77" w14:textId="77777777" w:rsidTr="00AC1AB2">
        <w:tc>
          <w:tcPr>
            <w:tcW w:w="2628" w:type="dxa"/>
          </w:tcPr>
          <w:p w14:paraId="5285DB78" w14:textId="77777777" w:rsidR="00332611" w:rsidRPr="001D0340" w:rsidRDefault="00332611" w:rsidP="00AC1AB2">
            <w:pPr>
              <w:rPr>
                <w:rFonts w:ascii="Calibri" w:hAnsi="Calibri"/>
                <w:sz w:val="20"/>
                <w:szCs w:val="20"/>
              </w:rPr>
            </w:pPr>
          </w:p>
        </w:tc>
        <w:tc>
          <w:tcPr>
            <w:tcW w:w="1446" w:type="dxa"/>
            <w:tcBorders>
              <w:top w:val="single" w:sz="4" w:space="0" w:color="auto"/>
            </w:tcBorders>
          </w:tcPr>
          <w:p w14:paraId="74415C90" w14:textId="77777777" w:rsidR="00332611" w:rsidRPr="001D0340" w:rsidRDefault="00332611" w:rsidP="00F01AB6">
            <w:pPr>
              <w:tabs>
                <w:tab w:val="left" w:pos="1289"/>
              </w:tabs>
              <w:ind w:right="266"/>
              <w:jc w:val="center"/>
              <w:rPr>
                <w:rFonts w:ascii="Calibri" w:hAnsi="Calibri"/>
                <w:sz w:val="20"/>
                <w:szCs w:val="20"/>
              </w:rPr>
            </w:pPr>
          </w:p>
        </w:tc>
        <w:tc>
          <w:tcPr>
            <w:tcW w:w="1974" w:type="dxa"/>
            <w:tcBorders>
              <w:top w:val="single" w:sz="4" w:space="0" w:color="auto"/>
            </w:tcBorders>
          </w:tcPr>
          <w:p w14:paraId="0A88F594" w14:textId="77777777" w:rsidR="00332611" w:rsidRDefault="00332611" w:rsidP="00AC1AB2">
            <w:pPr>
              <w:jc w:val="center"/>
              <w:rPr>
                <w:rFonts w:ascii="Calibri" w:hAnsi="Calibri"/>
                <w:sz w:val="20"/>
                <w:szCs w:val="20"/>
              </w:rPr>
            </w:pPr>
          </w:p>
        </w:tc>
        <w:tc>
          <w:tcPr>
            <w:tcW w:w="2700" w:type="dxa"/>
            <w:tcBorders>
              <w:top w:val="single" w:sz="4" w:space="0" w:color="auto"/>
            </w:tcBorders>
          </w:tcPr>
          <w:p w14:paraId="4341EC95" w14:textId="77777777" w:rsidR="00332611" w:rsidRPr="001D0340" w:rsidRDefault="00332611" w:rsidP="00B55E6C">
            <w:pPr>
              <w:tabs>
                <w:tab w:val="left" w:pos="1289"/>
              </w:tabs>
              <w:ind w:right="266"/>
              <w:jc w:val="center"/>
              <w:rPr>
                <w:rFonts w:ascii="Calibri" w:hAnsi="Calibri"/>
                <w:sz w:val="20"/>
                <w:szCs w:val="20"/>
              </w:rPr>
            </w:pPr>
          </w:p>
        </w:tc>
        <w:tc>
          <w:tcPr>
            <w:tcW w:w="3420" w:type="dxa"/>
            <w:tcBorders>
              <w:top w:val="single" w:sz="4" w:space="0" w:color="auto"/>
            </w:tcBorders>
          </w:tcPr>
          <w:p w14:paraId="531DE459" w14:textId="77777777" w:rsidR="00332611" w:rsidRPr="001D0340" w:rsidRDefault="00332611" w:rsidP="00AC1AB2">
            <w:pPr>
              <w:jc w:val="center"/>
              <w:rPr>
                <w:rFonts w:ascii="Calibri" w:hAnsi="Calibri"/>
                <w:sz w:val="20"/>
                <w:szCs w:val="20"/>
              </w:rPr>
            </w:pPr>
          </w:p>
        </w:tc>
      </w:tr>
    </w:tbl>
    <w:p w14:paraId="69690D7B" w14:textId="77777777" w:rsidR="00C875B2" w:rsidRDefault="00C875B2" w:rsidP="00C875B2"/>
    <w:p w14:paraId="7E370D82" w14:textId="07F29346" w:rsidR="00C875B2" w:rsidRDefault="00C875B2" w:rsidP="00C875B2">
      <w:pPr>
        <w:rPr>
          <w:rFonts w:ascii="Calibri" w:hAnsi="Calibri"/>
          <w:sz w:val="22"/>
          <w:szCs w:val="22"/>
        </w:rPr>
      </w:pPr>
      <w:r>
        <w:rPr>
          <w:rFonts w:ascii="Calibri" w:hAnsi="Calibri"/>
          <w:sz w:val="22"/>
          <w:szCs w:val="22"/>
        </w:rPr>
        <w:t>PFFV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PFFV’s investment performance and should not be confused with “yield” or “income”.</w:t>
      </w:r>
    </w:p>
    <w:p w14:paraId="210E2EA9" w14:textId="77777777" w:rsidR="00C875B2" w:rsidRDefault="00C875B2" w:rsidP="00C875B2">
      <w:pPr>
        <w:rPr>
          <w:rFonts w:ascii="Calibri" w:hAnsi="Calibri"/>
          <w:sz w:val="22"/>
          <w:szCs w:val="22"/>
        </w:rPr>
      </w:pPr>
    </w:p>
    <w:p w14:paraId="3820DBBE" w14:textId="32D58409" w:rsidR="00C875B2" w:rsidRDefault="00C875B2" w:rsidP="00C875B2">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7A65EB">
        <w:rPr>
          <w:rFonts w:ascii="Calibri" w:hAnsi="Calibri"/>
          <w:b/>
          <w:sz w:val="22"/>
          <w:szCs w:val="22"/>
        </w:rPr>
        <w:t>PFFV</w:t>
      </w:r>
      <w:r>
        <w:rPr>
          <w:rFonts w:ascii="Calibri" w:hAnsi="Calibri"/>
          <w:b/>
          <w:sz w:val="22"/>
          <w:szCs w:val="22"/>
        </w:rPr>
        <w:t xml:space="preserve">’s investment experience during the remainder of the fiscal year and may be subject to changes based on tax regulations.  In early </w:t>
      </w:r>
      <w:r w:rsidR="00DB7CDF">
        <w:rPr>
          <w:rFonts w:ascii="Calibri" w:hAnsi="Calibri"/>
          <w:b/>
          <w:sz w:val="22"/>
          <w:szCs w:val="22"/>
        </w:rPr>
        <w:t>202</w:t>
      </w:r>
      <w:r w:rsidR="003B05F4">
        <w:rPr>
          <w:rFonts w:ascii="Calibri" w:hAnsi="Calibri"/>
          <w:b/>
          <w:sz w:val="22"/>
          <w:szCs w:val="22"/>
        </w:rPr>
        <w:t>7</w:t>
      </w:r>
      <w:r>
        <w:rPr>
          <w:rFonts w:ascii="Calibri" w:hAnsi="Calibri"/>
          <w:b/>
          <w:sz w:val="22"/>
          <w:szCs w:val="22"/>
        </w:rPr>
        <w:t xml:space="preserve">, after definitive information is available, </w:t>
      </w:r>
      <w:r w:rsidRPr="007A65EB">
        <w:rPr>
          <w:rFonts w:ascii="Calibri" w:hAnsi="Calibri"/>
          <w:b/>
          <w:sz w:val="22"/>
          <w:szCs w:val="22"/>
        </w:rPr>
        <w:t>PFFV</w:t>
      </w:r>
      <w:r>
        <w:rPr>
          <w:rFonts w:ascii="Calibri" w:hAnsi="Calibri"/>
          <w:b/>
          <w:sz w:val="22"/>
          <w:szCs w:val="22"/>
        </w:rPr>
        <w:t xml:space="preserve"> will send you a Form 1099-DIV for the calendar year that will inform you how to report these distributions for federal income tax purposes.</w:t>
      </w:r>
    </w:p>
    <w:p w14:paraId="5F9AD366" w14:textId="77777777" w:rsidR="00C875B2" w:rsidRDefault="00C875B2" w:rsidP="00C875B2">
      <w:pPr>
        <w:rPr>
          <w:rFonts w:ascii="Calibri" w:hAnsi="Calibri"/>
          <w:sz w:val="22"/>
          <w:szCs w:val="22"/>
        </w:rPr>
      </w:pPr>
    </w:p>
    <w:p w14:paraId="51ACE5EB" w14:textId="77777777" w:rsidR="00C875B2" w:rsidRPr="00515A3D" w:rsidRDefault="00C875B2" w:rsidP="00C875B2">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0FD377E" w14:textId="77777777" w:rsidR="000936C6" w:rsidRPr="00515A3D" w:rsidRDefault="000936C6" w:rsidP="000936C6">
      <w:pPr>
        <w:rPr>
          <w:rFonts w:ascii="Calibri" w:hAnsi="Calibri"/>
          <w:sz w:val="22"/>
          <w:szCs w:val="22"/>
        </w:rPr>
      </w:pPr>
    </w:p>
    <w:p w14:paraId="3D46D5C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24D6F"/>
    <w:rsid w:val="0005486A"/>
    <w:rsid w:val="000610F6"/>
    <w:rsid w:val="000642D0"/>
    <w:rsid w:val="000936C6"/>
    <w:rsid w:val="00115D13"/>
    <w:rsid w:val="00136286"/>
    <w:rsid w:val="001E2307"/>
    <w:rsid w:val="0022581D"/>
    <w:rsid w:val="00283C3B"/>
    <w:rsid w:val="002D6F3E"/>
    <w:rsid w:val="002E6AA8"/>
    <w:rsid w:val="00314C5E"/>
    <w:rsid w:val="00316508"/>
    <w:rsid w:val="00332611"/>
    <w:rsid w:val="003668A6"/>
    <w:rsid w:val="00387DAC"/>
    <w:rsid w:val="003A19A4"/>
    <w:rsid w:val="003B05F4"/>
    <w:rsid w:val="003B07D5"/>
    <w:rsid w:val="004012D0"/>
    <w:rsid w:val="00437B3B"/>
    <w:rsid w:val="004602E2"/>
    <w:rsid w:val="00474A51"/>
    <w:rsid w:val="004C3AD8"/>
    <w:rsid w:val="004C5B71"/>
    <w:rsid w:val="004D5A16"/>
    <w:rsid w:val="005141FF"/>
    <w:rsid w:val="0053207A"/>
    <w:rsid w:val="00571348"/>
    <w:rsid w:val="00571B15"/>
    <w:rsid w:val="005A379B"/>
    <w:rsid w:val="005A6F56"/>
    <w:rsid w:val="00650272"/>
    <w:rsid w:val="00657F78"/>
    <w:rsid w:val="006C0D07"/>
    <w:rsid w:val="006D2A2B"/>
    <w:rsid w:val="007758CA"/>
    <w:rsid w:val="007F163B"/>
    <w:rsid w:val="0080039B"/>
    <w:rsid w:val="0085754D"/>
    <w:rsid w:val="008A304B"/>
    <w:rsid w:val="008B2FEA"/>
    <w:rsid w:val="008C2127"/>
    <w:rsid w:val="008C266F"/>
    <w:rsid w:val="008D6FD4"/>
    <w:rsid w:val="00904203"/>
    <w:rsid w:val="009E3268"/>
    <w:rsid w:val="009F7153"/>
    <w:rsid w:val="00A053D7"/>
    <w:rsid w:val="00A3474F"/>
    <w:rsid w:val="00A4155E"/>
    <w:rsid w:val="00AB5788"/>
    <w:rsid w:val="00AD7C4D"/>
    <w:rsid w:val="00B54906"/>
    <w:rsid w:val="00B55E6C"/>
    <w:rsid w:val="00B72E74"/>
    <w:rsid w:val="00B90A3A"/>
    <w:rsid w:val="00BE4119"/>
    <w:rsid w:val="00C058CD"/>
    <w:rsid w:val="00C0654B"/>
    <w:rsid w:val="00C1225A"/>
    <w:rsid w:val="00C15E0C"/>
    <w:rsid w:val="00C20E38"/>
    <w:rsid w:val="00C3135B"/>
    <w:rsid w:val="00C8424D"/>
    <w:rsid w:val="00C875B2"/>
    <w:rsid w:val="00DB0679"/>
    <w:rsid w:val="00DB7CDF"/>
    <w:rsid w:val="00F01AB6"/>
    <w:rsid w:val="00F5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32E8"/>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8795">
      <w:bodyDiv w:val="1"/>
      <w:marLeft w:val="0"/>
      <w:marRight w:val="0"/>
      <w:marTop w:val="0"/>
      <w:marBottom w:val="0"/>
      <w:divBdr>
        <w:top w:val="none" w:sz="0" w:space="0" w:color="auto"/>
        <w:left w:val="none" w:sz="0" w:space="0" w:color="auto"/>
        <w:bottom w:val="none" w:sz="0" w:space="0" w:color="auto"/>
        <w:right w:val="none" w:sz="0" w:space="0" w:color="auto"/>
      </w:divBdr>
    </w:div>
    <w:div w:id="610430761">
      <w:bodyDiv w:val="1"/>
      <w:marLeft w:val="0"/>
      <w:marRight w:val="0"/>
      <w:marTop w:val="0"/>
      <w:marBottom w:val="0"/>
      <w:divBdr>
        <w:top w:val="none" w:sz="0" w:space="0" w:color="auto"/>
        <w:left w:val="none" w:sz="0" w:space="0" w:color="auto"/>
        <w:bottom w:val="none" w:sz="0" w:space="0" w:color="auto"/>
        <w:right w:val="none" w:sz="0" w:space="0" w:color="auto"/>
      </w:divBdr>
    </w:div>
    <w:div w:id="757600500">
      <w:bodyDiv w:val="1"/>
      <w:marLeft w:val="0"/>
      <w:marRight w:val="0"/>
      <w:marTop w:val="0"/>
      <w:marBottom w:val="0"/>
      <w:divBdr>
        <w:top w:val="none" w:sz="0" w:space="0" w:color="auto"/>
        <w:left w:val="none" w:sz="0" w:space="0" w:color="auto"/>
        <w:bottom w:val="none" w:sz="0" w:space="0" w:color="auto"/>
        <w:right w:val="none" w:sz="0" w:space="0" w:color="auto"/>
      </w:divBdr>
    </w:div>
    <w:div w:id="15360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1540</Characters>
  <Application>Microsoft Office Word</Application>
  <DocSecurity>0</DocSecurity>
  <Lines>55</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2026-07-07T12:09:00Z</dcterms:created>
  <dcterms:modified xsi:type="dcterms:W3CDTF">2026-07-07T18:38:00Z</dcterms:modified>
</cp:coreProperties>
</file>